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B" w:rsidRDefault="00CB7D6B"/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2826"/>
      </w:tblGrid>
      <w:tr w:rsidR="00CB7D6B" w:rsidRPr="00EC7B45" w:rsidTr="00EC7B45">
        <w:tc>
          <w:tcPr>
            <w:tcW w:w="6030" w:type="dxa"/>
          </w:tcPr>
          <w:p w:rsidR="00EC7B45" w:rsidRPr="00EC7B45" w:rsidRDefault="00CB7D6B" w:rsidP="00CB7D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ar-SA"/>
              </w:rPr>
            </w:pPr>
            <w:r w:rsidRPr="00EC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ar-SA"/>
              </w:rPr>
              <w:t xml:space="preserve">Izsludināts konkurss </w:t>
            </w:r>
          </w:p>
          <w:p w:rsidR="00CB7D6B" w:rsidRPr="00EC7B45" w:rsidRDefault="00CB7D6B" w:rsidP="00EC7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ar-SA"/>
              </w:rPr>
            </w:pPr>
            <w:r w:rsidRPr="00EC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ar-SA"/>
              </w:rPr>
              <w:t xml:space="preserve">„Energoefektīvākā ēka Latvijā </w:t>
            </w:r>
            <w:r w:rsidR="00EC7B45" w:rsidRPr="00EC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ar-SA"/>
              </w:rPr>
              <w:t>2</w:t>
            </w:r>
            <w:r w:rsidRPr="00EC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ar-SA"/>
              </w:rPr>
              <w:t>015”</w:t>
            </w:r>
          </w:p>
        </w:tc>
        <w:tc>
          <w:tcPr>
            <w:tcW w:w="2826" w:type="dxa"/>
            <w:hideMark/>
          </w:tcPr>
          <w:p w:rsidR="00CB7D6B" w:rsidRPr="00EC7B45" w:rsidRDefault="00CB7D6B" w:rsidP="00CB7D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v-LV" w:eastAsia="ar-SA"/>
              </w:rPr>
            </w:pPr>
          </w:p>
        </w:tc>
      </w:tr>
    </w:tbl>
    <w:p w:rsidR="00CB7D6B" w:rsidRPr="00EC7B45" w:rsidRDefault="00CB7D6B" w:rsidP="00CB7D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 w:eastAsia="ar-SA"/>
        </w:rPr>
      </w:pP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/>
          <w:bCs/>
          <w:lang w:val="lv-LV" w:eastAsia="ar-SA"/>
        </w:rPr>
        <w:t>Ekonomikas ministrija, Vides aizsardzības un reģionālās attīstības ministrija un žurnāls „Būvinženieris” izsludina konkursu „Energoefektīvākā ēka Latvijā 2015”. Konkurss informatīvās kampaņas „Dzīvo siltāk” ietvaros notiks jau piekto gadu.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lv-LV" w:eastAsia="ar-SA"/>
        </w:rPr>
      </w:pPr>
    </w:p>
    <w:p w:rsidR="00CB7D6B" w:rsidRPr="00EC7B45" w:rsidRDefault="00CB7D6B" w:rsidP="00CB7D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lang w:val="lv-LV" w:eastAsia="ar-SA"/>
        </w:rPr>
        <w:t xml:space="preserve">Konkursa mērķis ir veicināt labo praksi ēku energoefektivātes jomā, kā arī veidot sabiedrības izpratni par ēku siltumnoturību, siltumnīcefekta gāzu emisiju samazināšanas nozīmi </w:t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un iespējām, lai radītu kvalitatīvu un arhitektoniski izteiksmīgu dzīves telpu.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lv-LV" w:eastAsia="ar-SA"/>
        </w:rPr>
      </w:pP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/>
          <w:bCs/>
          <w:lang w:val="lv-LV" w:eastAsia="ar-SA"/>
        </w:rPr>
        <w:t>Pieteikumus konkursam var iesniegt piecās kategorijās:</w:t>
      </w:r>
    </w:p>
    <w:p w:rsidR="00CB7D6B" w:rsidRPr="00EC7B45" w:rsidRDefault="00CB7D6B" w:rsidP="00CB7D6B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>Energoefektīvākā renovētā daudzdzīvokļu ēka;</w:t>
      </w:r>
    </w:p>
    <w:p w:rsidR="00CB7D6B" w:rsidRPr="00EC7B45" w:rsidRDefault="00CB7D6B" w:rsidP="00CB7D6B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Energoefektīvākā daudzdzīvokļu ēka – jaunbūve; </w:t>
      </w:r>
    </w:p>
    <w:p w:rsidR="00CB7D6B" w:rsidRPr="00EC7B45" w:rsidRDefault="00CB7D6B" w:rsidP="00CB7D6B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>Energoefektīvākā sabiedriskā ēka;</w:t>
      </w:r>
    </w:p>
    <w:p w:rsidR="00CB7D6B" w:rsidRPr="00EC7B45" w:rsidRDefault="00CB7D6B" w:rsidP="00CB7D6B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Energoefektīvākā vienģimenes ēka; </w:t>
      </w:r>
    </w:p>
    <w:p w:rsidR="00CB7D6B" w:rsidRPr="00EC7B45" w:rsidRDefault="00CB7D6B" w:rsidP="00CB7D6B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Energoefektīvākā industriālā ēka.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</w:p>
    <w:p w:rsidR="00CB7D6B" w:rsidRPr="00EC7B45" w:rsidRDefault="00CB7D6B" w:rsidP="00CB7D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/>
          <w:bCs/>
          <w:lang w:val="lv-LV" w:eastAsia="ar-SA"/>
        </w:rPr>
        <w:t xml:space="preserve">Pieteikumus konkursam „Energoefektīvākā ēka Latvijā 2015” aicinām iesniegt līdz 2015.  gada 15. maijam plkst. 17.00, </w:t>
      </w:r>
      <w:r w:rsidRPr="00EC7B45">
        <w:rPr>
          <w:rFonts w:ascii="Times New Roman" w:eastAsia="Times New Roman" w:hAnsi="Times New Roman" w:cs="Calibri"/>
          <w:lang w:val="lv-LV" w:eastAsia="ar-SA"/>
        </w:rPr>
        <w:t xml:space="preserve">nosūtot tos elektroniski uz e-pasta adresi </w:t>
      </w:r>
      <w:r w:rsidRPr="00EC7B45">
        <w:rPr>
          <w:rFonts w:ascii="Times New Roman" w:eastAsia="Times New Roman" w:hAnsi="Times New Roman" w:cs="Calibri"/>
          <w:lang w:val="lv-LV" w:eastAsia="ar-SA"/>
        </w:rPr>
        <w:fldChar w:fldCharType="begin"/>
      </w:r>
      <w:r w:rsidRPr="00EC7B45">
        <w:rPr>
          <w:rFonts w:ascii="Times New Roman" w:eastAsia="Times New Roman" w:hAnsi="Times New Roman" w:cs="Calibri"/>
          <w:lang w:val="lv-LV" w:eastAsia="ar-SA"/>
        </w:rPr>
        <w:instrText xml:space="preserve"> HYPERLINK "mailto:dzivosiltak@em.gov.lv" </w:instrText>
      </w:r>
      <w:r w:rsidRPr="00EC7B45">
        <w:rPr>
          <w:rFonts w:ascii="Times New Roman" w:eastAsia="Times New Roman" w:hAnsi="Times New Roman" w:cs="Calibri"/>
          <w:lang w:val="lv-LV" w:eastAsia="ar-SA"/>
        </w:rPr>
        <w:fldChar w:fldCharType="separate"/>
      </w:r>
      <w:r w:rsidRPr="00EC7B45">
        <w:rPr>
          <w:rFonts w:ascii="Times New Roman" w:eastAsia="Times New Roman" w:hAnsi="Times New Roman" w:cs="Calibri"/>
          <w:color w:val="0000FF"/>
          <w:u w:val="single"/>
          <w:lang w:val="lv-LV" w:eastAsia="ar-SA"/>
        </w:rPr>
        <w:t>dzivosiltak@em.gov.lv</w:t>
      </w:r>
      <w:r w:rsidRPr="00EC7B45">
        <w:rPr>
          <w:rFonts w:ascii="Times New Roman" w:eastAsia="Times New Roman" w:hAnsi="Times New Roman" w:cs="Calibri"/>
          <w:lang w:val="lv-LV" w:eastAsia="ar-SA"/>
        </w:rPr>
        <w:fldChar w:fldCharType="end"/>
      </w:r>
      <w:r w:rsidRPr="00EC7B45">
        <w:rPr>
          <w:rFonts w:ascii="Times New Roman" w:eastAsia="Times New Roman" w:hAnsi="Times New Roman" w:cs="Calibri"/>
          <w:lang w:val="lv-LV" w:eastAsia="ar-SA"/>
        </w:rPr>
        <w:t xml:space="preserve"> un papīra formātā nosūtot pa pastu Latvijas Būvinženieru savienībai, Kr.Barona iela 99-1a, Rīga, LV - 1012 (pasta zīmogs: 2015. gada 15. maijs).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lv-LV" w:eastAsia="ar-SA"/>
        </w:rPr>
      </w:pP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lv-LV" w:eastAsia="ar-SA"/>
        </w:rPr>
      </w:pP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Konkursa „Energoefektīvākā ēka Latvijā 2015” nolikums publicēts konkursa tīmekļa vietnē </w:t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fldChar w:fldCharType="begin"/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instrText xml:space="preserve"> HYPERLINK "http://www.energoefektivakaeka.lv" </w:instrText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fldChar w:fldCharType="separate"/>
      </w:r>
      <w:r w:rsidRPr="00EC7B45">
        <w:rPr>
          <w:rFonts w:ascii="Times New Roman" w:eastAsia="Times New Roman" w:hAnsi="Times New Roman" w:cs="Times New Roman"/>
          <w:bCs/>
          <w:color w:val="0000FF"/>
          <w:u w:val="single"/>
          <w:lang w:val="lv-LV" w:eastAsia="ar-SA"/>
        </w:rPr>
        <w:t>www.energoefektivakaeka.lv</w:t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fldChar w:fldCharType="end"/>
      </w:r>
      <w:r w:rsidRPr="00EC7B45">
        <w:rPr>
          <w:rFonts w:ascii="Times New Roman" w:eastAsia="Times New Roman" w:hAnsi="Times New Roman" w:cs="Times New Roman"/>
          <w:bCs/>
          <w:lang w:val="lv-LV" w:eastAsia="ar-SA"/>
        </w:rPr>
        <w:t xml:space="preserve">. Papildus informāciju par konkursu var saņemt Ekonomikas ministrijā (kontaktpersona: Inese Bērziņa, </w:t>
      </w:r>
      <w:r w:rsidRPr="00EC7B45">
        <w:rPr>
          <w:rFonts w:ascii="Times New Roman" w:eastAsia="Times New Roman" w:hAnsi="Times New Roman" w:cs="Times New Roman"/>
          <w:lang w:val="lv-LV" w:eastAsia="ar-SA"/>
        </w:rPr>
        <w:fldChar w:fldCharType="begin"/>
      </w:r>
      <w:r w:rsidRPr="00EC7B45">
        <w:rPr>
          <w:rFonts w:ascii="Times New Roman" w:eastAsia="Times New Roman" w:hAnsi="Times New Roman" w:cs="Times New Roman"/>
          <w:lang w:val="lv-LV" w:eastAsia="ar-SA"/>
        </w:rPr>
        <w:instrText xml:space="preserve"> HYPERLINK "mailto:inese.berzina@em.gov.lv" </w:instrText>
      </w:r>
      <w:r w:rsidRPr="00EC7B45">
        <w:rPr>
          <w:rFonts w:ascii="Times New Roman" w:eastAsia="Times New Roman" w:hAnsi="Times New Roman" w:cs="Times New Roman"/>
          <w:lang w:val="lv-LV" w:eastAsia="ar-SA"/>
        </w:rPr>
        <w:fldChar w:fldCharType="separate"/>
      </w:r>
      <w:r w:rsidRPr="00EC7B45">
        <w:rPr>
          <w:rFonts w:ascii="Times New Roman" w:eastAsia="Times New Roman" w:hAnsi="Times New Roman" w:cs="Times New Roman"/>
          <w:color w:val="0000FF"/>
          <w:u w:val="single"/>
          <w:lang w:val="lv-LV" w:eastAsia="ar-SA"/>
        </w:rPr>
        <w:t>inese.berzina@em.gov.lv</w:t>
      </w:r>
      <w:r w:rsidRPr="00EC7B45">
        <w:rPr>
          <w:rFonts w:ascii="Times New Roman" w:eastAsia="Times New Roman" w:hAnsi="Times New Roman" w:cs="Times New Roman"/>
          <w:lang w:val="lv-LV" w:eastAsia="ar-SA"/>
        </w:rPr>
        <w:fldChar w:fldCharType="end"/>
      </w:r>
      <w:r w:rsidRPr="00EC7B45">
        <w:rPr>
          <w:rFonts w:ascii="Times New Roman" w:eastAsia="Times New Roman" w:hAnsi="Times New Roman" w:cs="Times New Roman"/>
          <w:lang w:val="lv-LV" w:eastAsia="ar-SA"/>
        </w:rPr>
        <w:t xml:space="preserve">, 67013240).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ar-SA"/>
        </w:rPr>
      </w:pPr>
    </w:p>
    <w:p w:rsidR="00CB7D6B" w:rsidRPr="00EC7B45" w:rsidRDefault="00CB7D6B" w:rsidP="00EC7B45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Calibri"/>
          <w:lang w:val="lv-LV" w:eastAsia="ar-SA"/>
        </w:rPr>
      </w:pPr>
      <w:r w:rsidRPr="00EC7B45">
        <w:rPr>
          <w:rFonts w:ascii="Times New Roman" w:eastAsia="Times New Roman" w:hAnsi="Times New Roman" w:cs="Times New Roman"/>
          <w:lang w:val="lv-LV" w:eastAsia="ar-SA"/>
        </w:rPr>
        <w:t xml:space="preserve">Konkursa nolikums tika sagatavots sadarbībā ar informatīvās kampaņas „Dzīvo siltāk” sadarbības partneriem – </w:t>
      </w:r>
      <w:r w:rsidRPr="00EC7B45">
        <w:rPr>
          <w:rFonts w:ascii="Times New Roman" w:eastAsia="Times New Roman" w:hAnsi="Times New Roman" w:cs="Calibri"/>
          <w:lang w:val="lv-LV"/>
        </w:rPr>
        <w:t xml:space="preserve">Latvijas Būvinženieru </w:t>
      </w:r>
      <w:r w:rsidRPr="00EC7B45">
        <w:rPr>
          <w:rFonts w:ascii="Times New Roman" w:eastAsia="Times New Roman" w:hAnsi="Times New Roman" w:cs="Calibri"/>
          <w:lang w:val="lv-LV" w:eastAsia="ar-SA"/>
        </w:rPr>
        <w:t>savienību</w:t>
      </w:r>
      <w:r w:rsidRPr="00EC7B45">
        <w:rPr>
          <w:rFonts w:ascii="Times New Roman" w:eastAsia="Times New Roman" w:hAnsi="Times New Roman" w:cs="Calibri"/>
          <w:lang w:val="lv-LV"/>
        </w:rPr>
        <w:t xml:space="preserve">, Latvijas Namu pārvaldītāju un apsaimniekotāju asociāciju, Latvijas Inženierkonsultantu asociāciju, Latvijas Būvnieku asociāciju, Tehnisko ekspertu asociāciju, Latvijas Logu un durvju ražotāju asociāciju, </w:t>
      </w:r>
      <w:r w:rsidRPr="00EC7B45">
        <w:rPr>
          <w:rFonts w:ascii="Times New Roman" w:eastAsia="Times New Roman" w:hAnsi="Times New Roman" w:cs="Calibri"/>
          <w:lang w:val="lv-LV" w:eastAsia="ar-SA"/>
        </w:rPr>
        <w:t>Rīgas Tehnisko universitāti, Būvmateriālu ražotāju asociāciju, Latvijas Ilgtspējīgas būvniecības padomi un Latvijas Siltuma, gāzes un ūdens tehnoloģijas inženieru savienību. Konkursa atbalstītāji ir „Profine”, SIA „Paroc”, SIA „Saint-Gobain Celtniecības produkti”, SIA „Tenapors”, SIA „Aeroc”, SIA „Knauf”, SIA „Rockwool”, SIA „Grundfoss” un SIA „Buderus” .</w:t>
      </w:r>
    </w:p>
    <w:p w:rsidR="00EC7B45" w:rsidRPr="00EC7B45" w:rsidRDefault="00EC7B45" w:rsidP="00EC7B45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Evita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Urpena</w:t>
      </w:r>
      <w:proofErr w:type="spellEnd"/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Ekonomikas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ministrijas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Sabiedrisko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attiecību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nodaļas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vadītāja</w:t>
      </w:r>
      <w:proofErr w:type="spellEnd"/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Tālr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>: 67013193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E-pasts: </w:t>
      </w:r>
      <w:hyperlink r:id="rId6" w:tgtFrame="_blank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Evita.Urpena@em.gov.lv</w:t>
        </w:r>
      </w:hyperlink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; </w:t>
      </w:r>
      <w:hyperlink r:id="rId7" w:tgtFrame="_blank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prese@em.gov.lv</w:t>
        </w:r>
      </w:hyperlink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Web: </w:t>
      </w:r>
      <w:hyperlink r:id="rId8" w:tgtFrame="_blank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www.em.gov.lv</w:t>
        </w:r>
      </w:hyperlink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; </w:t>
      </w:r>
      <w:hyperlink r:id="rId9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www.eu2015.lv</w:t>
        </w:r>
      </w:hyperlink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Seko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mums Twitter: @</w:t>
      </w: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EM_gov_lv</w:t>
      </w:r>
      <w:proofErr w:type="spellEnd"/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EC7B45">
        <w:rPr>
          <w:rFonts w:ascii="Times New Roman" w:eastAsia="Times New Roman" w:hAnsi="Times New Roman" w:cs="Times New Roman"/>
          <w:color w:val="000000"/>
          <w:lang w:val="en-AU"/>
        </w:rPr>
        <w:t>Youtube</w:t>
      </w:r>
      <w:proofErr w:type="spellEnd"/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: </w:t>
      </w:r>
      <w:hyperlink r:id="rId10" w:tgtFrame="_blank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http://www.youtube.com/ekonomikasministrija</w:t>
        </w:r>
      </w:hyperlink>
      <w:r w:rsidRPr="00EC7B4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CB7D6B" w:rsidRPr="00EC7B45" w:rsidRDefault="00CB7D6B" w:rsidP="00CB7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r w:rsidRPr="00EC7B45">
        <w:rPr>
          <w:rFonts w:ascii="Times New Roman" w:eastAsia="Times New Roman" w:hAnsi="Times New Roman" w:cs="Times New Roman"/>
          <w:color w:val="000000"/>
          <w:lang w:val="en-AU"/>
        </w:rPr>
        <w:t>Facebook: http://</w:t>
      </w:r>
      <w:hyperlink r:id="rId11" w:tgtFrame="_blank" w:history="1">
        <w:r w:rsidRPr="00EC7B45">
          <w:rPr>
            <w:rFonts w:ascii="Times New Roman" w:eastAsia="Times New Roman" w:hAnsi="Times New Roman" w:cs="Times New Roman"/>
            <w:color w:val="000000"/>
            <w:u w:val="single"/>
            <w:lang w:val="en-AU"/>
          </w:rPr>
          <w:t>www.facebook.com/atbalstsuznemejiem</w:t>
        </w:r>
      </w:hyperlink>
    </w:p>
    <w:p w:rsidR="00CB7D6B" w:rsidRPr="00CB7D6B" w:rsidRDefault="00EC7B45">
      <w:pPr>
        <w:rPr>
          <w:lang w:val="en-AU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CF33B1C" wp14:editId="2A2F6C67">
            <wp:extent cx="6455390" cy="4026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5392" cy="40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7D6B" w:rsidRPr="00CB7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263"/>
    <w:multiLevelType w:val="hybridMultilevel"/>
    <w:tmpl w:val="45B469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B"/>
    <w:rsid w:val="00BF4333"/>
    <w:rsid w:val="00CB7D6B"/>
    <w:rsid w:val="00E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e@em.gov.l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Urpena@em.gov.lv" TargetMode="External"/><Relationship Id="rId11" Type="http://schemas.openxmlformats.org/officeDocument/2006/relationships/hyperlink" Target="http://www.facebook.com/atbalstsuznemeji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ekonomikasministr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2015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2015-03-11T09:24:00Z</dcterms:created>
  <dcterms:modified xsi:type="dcterms:W3CDTF">2015-03-11T09:40:00Z</dcterms:modified>
</cp:coreProperties>
</file>